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 w:val="24"/>
          <w:szCs w:val="24"/>
        </w:rPr>
        <w:outlineLvl w:val="0"/>
      </w:pPr>
      <w:r>
        <w:rPr>
          <w:b/>
          <w:sz w:val="24"/>
          <w:szCs w:val="24"/>
        </w:rPr>
        <w:t xml:space="preserve">ТЕХНИЧЕСКОЕ ЗАДАНИЕ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проведени</w:t>
      </w:r>
      <w:r>
        <w:rPr>
          <w:b/>
          <w:sz w:val="24"/>
          <w:szCs w:val="24"/>
        </w:rPr>
        <w:t xml:space="preserve">е</w:t>
      </w:r>
      <w:r>
        <w:rPr>
          <w:b/>
          <w:sz w:val="24"/>
          <w:szCs w:val="24"/>
        </w:rPr>
        <w:t xml:space="preserve"> закупки </w:t>
      </w:r>
      <w:r>
        <w:rPr>
          <w:b/>
          <w:sz w:val="24"/>
          <w:szCs w:val="24"/>
        </w:rPr>
        <w:t xml:space="preserve">по </w:t>
      </w:r>
      <w:r>
        <w:rPr>
          <w:b/>
          <w:sz w:val="24"/>
          <w:szCs w:val="24"/>
        </w:rPr>
        <w:t xml:space="preserve">добровольному страхованию автотранспортных средств (КАСКО) для н</w:t>
      </w:r>
      <w:r>
        <w:rPr>
          <w:b/>
          <w:sz w:val="24"/>
          <w:szCs w:val="24"/>
        </w:rPr>
        <w:t xml:space="preserve">ужд </w:t>
      </w:r>
      <w:r>
        <w:rPr>
          <w:b/>
          <w:sz w:val="24"/>
          <w:szCs w:val="24"/>
        </w:rPr>
        <w:t xml:space="preserve">АО «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 Сибирь </w:t>
      </w:r>
      <w:r>
        <w:rPr>
          <w:b/>
          <w:sz w:val="24"/>
          <w:szCs w:val="24"/>
        </w:rPr>
        <w:t xml:space="preserve">Тываэнерго</w:t>
      </w:r>
      <w:r>
        <w:rPr>
          <w:b/>
          <w:sz w:val="24"/>
          <w:szCs w:val="24"/>
        </w:rPr>
        <w:t xml:space="preserve">»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(</w:t>
      </w:r>
      <w:r>
        <w:rPr>
          <w:b/>
          <w:sz w:val="24"/>
          <w:szCs w:val="24"/>
        </w:rPr>
        <w:t xml:space="preserve">запрос предложений</w:t>
      </w:r>
      <w:r>
        <w:rPr>
          <w:b/>
          <w:sz w:val="24"/>
          <w:szCs w:val="24"/>
        </w:rPr>
        <w:t xml:space="preserve"> в электронной форме</w:t>
      </w:r>
      <w:r>
        <w:rPr>
          <w:b/>
          <w:sz w:val="24"/>
          <w:szCs w:val="24"/>
        </w:rPr>
        <w:t xml:space="preserve">) </w:t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1023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0A0" w:firstRow="1" w:lastRow="0" w:firstColumn="1" w:lastColumn="0" w:noHBand="0" w:noVBand="0"/>
      </w:tblPr>
      <w:tblGrid>
        <w:gridCol w:w="560"/>
        <w:gridCol w:w="2663"/>
        <w:gridCol w:w="7011"/>
      </w:tblGrid>
      <w:tr>
        <w:tblPrEx/>
        <w:trPr>
          <w:jc w:val="center"/>
          <w:trHeight w:val="302"/>
        </w:trPr>
        <w:tc>
          <w:tcPr>
            <w:tcW w:w="560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widowControl w:val="off"/>
              <w:rPr>
                <w:b/>
                <w:sz w:val="24"/>
                <w:szCs w:val="24"/>
              </w:rPr>
              <w:suppressLineNumbers/>
            </w:pPr>
            <w:r>
              <w:rPr>
                <w:b/>
                <w:sz w:val="24"/>
                <w:szCs w:val="24"/>
              </w:rPr>
              <w:t xml:space="preserve">№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keepLines/>
              <w:keepNext/>
              <w:widowControl w:val="off"/>
              <w:rPr>
                <w:b/>
                <w:sz w:val="24"/>
                <w:szCs w:val="24"/>
              </w:rPr>
              <w:suppressLineNumbers/>
            </w:pPr>
            <w:r>
              <w:rPr>
                <w:b/>
                <w:sz w:val="24"/>
                <w:szCs w:val="24"/>
              </w:rPr>
              <w:t xml:space="preserve">п/п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663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widowControl w:val="off"/>
              <w:rPr>
                <w:b/>
                <w:sz w:val="24"/>
                <w:szCs w:val="24"/>
              </w:rPr>
              <w:suppressLineNumbers/>
            </w:pPr>
            <w:r>
              <w:rPr>
                <w:b/>
                <w:sz w:val="24"/>
                <w:szCs w:val="24"/>
              </w:rPr>
              <w:t xml:space="preserve">Наименование пункта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7011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widowControl w:val="off"/>
              <w:rPr>
                <w:b/>
                <w:sz w:val="24"/>
                <w:szCs w:val="24"/>
              </w:rPr>
              <w:suppressLineNumbers/>
            </w:pPr>
            <w:r>
              <w:rPr>
                <w:b/>
                <w:sz w:val="24"/>
                <w:szCs w:val="24"/>
              </w:rPr>
              <w:t xml:space="preserve">Текст пояснений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W w:w="56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6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Вид и предмет закупки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1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lang w:eastAsia="en-US"/>
              </w:rPr>
              <w:outlineLvl w:val="0"/>
            </w:pPr>
            <w:r>
              <w:rPr>
                <w:sz w:val="24"/>
                <w:szCs w:val="24"/>
                <w:lang w:eastAsia="en-US"/>
              </w:rPr>
              <w:t xml:space="preserve">Запрос предложений</w:t>
            </w:r>
            <w:r>
              <w:rPr>
                <w:sz w:val="24"/>
                <w:szCs w:val="24"/>
                <w:lang w:eastAsia="en-US"/>
              </w:rPr>
              <w:t xml:space="preserve"> в электронной форме на право заключения договора </w:t>
            </w:r>
            <w:r>
              <w:rPr>
                <w:sz w:val="24"/>
                <w:szCs w:val="24"/>
                <w:lang w:eastAsia="en-US"/>
              </w:rPr>
              <w:t xml:space="preserve">добровольного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страхования </w:t>
            </w:r>
            <w:r>
              <w:rPr>
                <w:sz w:val="24"/>
                <w:szCs w:val="24"/>
                <w:lang w:eastAsia="en-US"/>
              </w:rPr>
              <w:t xml:space="preserve">автотранспортных </w:t>
            </w:r>
            <w:r>
              <w:rPr>
                <w:sz w:val="24"/>
                <w:szCs w:val="24"/>
                <w:lang w:eastAsia="en-US"/>
              </w:rPr>
              <w:t xml:space="preserve">средств </w:t>
            </w:r>
            <w:r>
              <w:rPr>
                <w:sz w:val="24"/>
                <w:szCs w:val="24"/>
                <w:lang w:eastAsia="en-US"/>
              </w:rPr>
              <w:t xml:space="preserve">(КАСКО) </w:t>
            </w:r>
            <w:r>
              <w:rPr>
                <w:sz w:val="24"/>
                <w:szCs w:val="24"/>
                <w:lang w:eastAsia="en-US"/>
              </w:rPr>
              <w:t xml:space="preserve">для нужд </w:t>
            </w:r>
            <w:r>
              <w:rPr>
                <w:sz w:val="24"/>
                <w:szCs w:val="24"/>
                <w:lang w:eastAsia="en-US"/>
              </w:rPr>
              <w:t xml:space="preserve">АО «</w:t>
            </w:r>
            <w:r>
              <w:rPr>
                <w:sz w:val="24"/>
                <w:szCs w:val="24"/>
                <w:lang w:eastAsia="en-US"/>
              </w:rPr>
              <w:t xml:space="preserve">Россети</w:t>
            </w:r>
            <w:r>
              <w:rPr>
                <w:sz w:val="24"/>
                <w:szCs w:val="24"/>
                <w:lang w:eastAsia="en-US"/>
              </w:rPr>
              <w:t xml:space="preserve"> Сибирь </w:t>
            </w:r>
            <w:r>
              <w:rPr>
                <w:sz w:val="24"/>
                <w:szCs w:val="24"/>
                <w:lang w:eastAsia="en-US"/>
              </w:rPr>
              <w:t xml:space="preserve">Тываэнерго</w:t>
            </w:r>
            <w:r>
              <w:rPr>
                <w:sz w:val="24"/>
                <w:szCs w:val="24"/>
                <w:lang w:eastAsia="en-US"/>
              </w:rPr>
              <w:t xml:space="preserve">»</w:t>
            </w:r>
            <w:r>
              <w:rPr>
                <w:sz w:val="24"/>
                <w:szCs w:val="24"/>
                <w:lang w:eastAsia="en-US"/>
              </w:rPr>
              <w:t xml:space="preserve">.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</w:tr>
      <w:tr>
        <w:tblPrEx/>
        <w:trPr>
          <w:jc w:val="center"/>
          <w:trHeight w:val="600"/>
        </w:trPr>
        <w:tc>
          <w:tcPr>
            <w:tcW w:w="56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63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lang w:eastAsia="en-US"/>
              </w:rPr>
              <w:outlineLvl w:val="0"/>
            </w:pPr>
            <w:r>
              <w:rPr>
                <w:sz w:val="24"/>
                <w:szCs w:val="24"/>
                <w:lang w:eastAsia="en-US"/>
              </w:rPr>
              <w:t xml:space="preserve">Территория страхования 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W w:w="7011" w:type="dxa"/>
            <w:textDirection w:val="lrTb"/>
            <w:noWrap w:val="false"/>
          </w:tcPr>
          <w:p>
            <w:pPr>
              <w:pStyle w:val="855"/>
              <w:ind w:left="0" w:firstLine="0"/>
              <w:tabs>
                <w:tab w:val="clear" w:pos="360" w:leader="none"/>
              </w:tabs>
              <w:rPr>
                <w:sz w:val="22"/>
                <w:szCs w:val="22"/>
              </w:rPr>
            </w:pPr>
            <w:r>
              <w:rPr>
                <w:sz w:val="24"/>
                <w:lang w:eastAsia="en-US"/>
              </w:rPr>
              <w:t xml:space="preserve">Территорией страхования является территория Российской Федерации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jc w:val="center"/>
          <w:trHeight w:val="695"/>
        </w:trPr>
        <w:tc>
          <w:tcPr>
            <w:tcW w:w="56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6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Порядок формирования цены Договора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11" w:type="dxa"/>
            <w:textDirection w:val="lrTb"/>
            <w:noWrap w:val="false"/>
          </w:tcPr>
          <w:p>
            <w:pPr>
              <w:pStyle w:val="855"/>
              <w:ind w:left="0" w:firstLine="0"/>
              <w:tabs>
                <w:tab w:val="clear" w:pos="360" w:leader="none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Начальная (максимальная) цена договора для целей проведения </w:t>
            </w:r>
            <w:r>
              <w:rPr>
                <w:sz w:val="24"/>
                <w:lang w:eastAsia="en-US"/>
              </w:rPr>
              <w:t xml:space="preserve">запроса предложений</w:t>
            </w:r>
            <w:r>
              <w:rPr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 xml:space="preserve">в электронной форме </w:t>
            </w:r>
            <w:r>
              <w:rPr>
                <w:sz w:val="24"/>
                <w:lang w:eastAsia="en-US"/>
              </w:rPr>
              <w:t xml:space="preserve">установлена Заказчиком в рублях</w:t>
            </w:r>
            <w:r>
              <w:rPr>
                <w:sz w:val="24"/>
                <w:lang w:eastAsia="en-US"/>
              </w:rPr>
              <w:t xml:space="preserve">.</w:t>
            </w:r>
            <w:r>
              <w:rPr>
                <w:sz w:val="24"/>
                <w:lang w:eastAsia="en-US"/>
              </w:rPr>
            </w:r>
            <w:r>
              <w:rPr>
                <w:sz w:val="24"/>
                <w:lang w:eastAsia="en-US"/>
              </w:rPr>
            </w:r>
          </w:p>
          <w:p>
            <w:pPr>
              <w:pStyle w:val="855"/>
              <w:ind w:left="0" w:firstLine="0"/>
              <w:tabs>
                <w:tab w:val="clear" w:pos="360" w:leader="none"/>
              </w:tabs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Участник закупочной процедуры в своей заявке должен указать единый размер страхового тарифа в % для всех автотранспортных средств, указанных в Приложении 1 к настоящему техническому заданию.  </w:t>
            </w:r>
            <w:r>
              <w:rPr>
                <w:b/>
                <w:sz w:val="24"/>
                <w:lang w:eastAsia="en-US"/>
              </w:rPr>
            </w:r>
            <w:r>
              <w:rPr>
                <w:b/>
                <w:sz w:val="24"/>
                <w:lang w:eastAsia="en-US"/>
              </w:rPr>
            </w:r>
          </w:p>
          <w:p>
            <w:pPr>
              <w:pStyle w:val="855"/>
              <w:ind w:left="0" w:firstLine="0"/>
              <w:tabs>
                <w:tab w:val="clear" w:pos="360" w:leader="none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</w:r>
            <w:r>
              <w:rPr>
                <w:sz w:val="24"/>
                <w:lang w:eastAsia="en-US"/>
              </w:rPr>
            </w:r>
            <w:r>
              <w:rPr>
                <w:sz w:val="24"/>
                <w:lang w:eastAsia="en-US"/>
              </w:rPr>
            </w:r>
          </w:p>
        </w:tc>
      </w:tr>
      <w:tr>
        <w:tblPrEx/>
        <w:trPr>
          <w:jc w:val="center"/>
          <w:trHeight w:val="553"/>
        </w:trPr>
        <w:tc>
          <w:tcPr>
            <w:tcW w:w="56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4.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6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Наименование лота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1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  <w:lang w:eastAsia="en-US"/>
              </w:rPr>
              <w:t xml:space="preserve">Добровольное страхование автотранспортных средств (КАСКО)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W w:w="56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5.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6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Начальная (максимальная) цена Договора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11" w:type="dxa"/>
            <w:vAlign w:val="center"/>
            <w:textDirection w:val="lrTb"/>
            <w:noWrap w:val="false"/>
          </w:tcPr>
          <w:p>
            <w:pPr>
              <w:pStyle w:val="861"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2 351 610 (Два миллиона триста пятьдесят одна тысяча шестьсот десять) рублей 48 копеек, НДС не облагается.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61"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393"/>
        </w:trPr>
        <w:tc>
          <w:tcPr>
            <w:tcW w:w="56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6.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6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</w:rPr>
              <w:t xml:space="preserve">роки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11" w:type="dxa"/>
            <w:textDirection w:val="lrTb"/>
            <w:noWrap w:val="false"/>
          </w:tcPr>
          <w:p>
            <w:pPr>
              <w:jc w:val="both"/>
              <w:tabs>
                <w:tab w:val="left" w:pos="567" w:leader="none"/>
                <w:tab w:val="left" w:pos="141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00.00 часов «01» января 2026 года по 24.00 часов «31» декабря 2026 года.</w:t>
            </w:r>
            <w:bookmarkStart w:id="0" w:name="undefined"/>
            <w:r/>
            <w:bookmarkEnd w:id="0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3489"/>
        </w:trPr>
        <w:tc>
          <w:tcPr>
            <w:tcW w:w="56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7.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6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Основные требования к предмету закупки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11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7.1. Страхователь: </w:t>
            </w:r>
            <w:r>
              <w:rPr>
                <w:sz w:val="24"/>
                <w:szCs w:val="24"/>
              </w:rPr>
              <w:t xml:space="preserve">АО «</w:t>
            </w:r>
            <w:r>
              <w:rPr>
                <w:sz w:val="24"/>
                <w:szCs w:val="24"/>
              </w:rPr>
              <w:t xml:space="preserve">Россети</w:t>
            </w:r>
            <w:r>
              <w:rPr>
                <w:sz w:val="24"/>
                <w:szCs w:val="24"/>
              </w:rPr>
              <w:t xml:space="preserve"> Сибирь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Тываэнерго</w:t>
            </w:r>
            <w:r>
              <w:rPr>
                <w:sz w:val="24"/>
                <w:szCs w:val="24"/>
              </w:rPr>
              <w:t xml:space="preserve">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7.2. </w:t>
            </w:r>
            <w:r>
              <w:rPr>
                <w:sz w:val="24"/>
                <w:szCs w:val="24"/>
              </w:rPr>
              <w:t xml:space="preserve">Требования Заказчика к страховым рискам, страховым случаям, исключениям из страхового покрытия изложены в проекте договора страхования (приложение к закупочной документации).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7.3. Общая страховая сумма по договору страхования устанавливается в </w:t>
            </w:r>
            <w:r>
              <w:rPr>
                <w:sz w:val="24"/>
                <w:szCs w:val="24"/>
              </w:rPr>
              <w:t xml:space="preserve">размере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305 403 958,26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(Триста пять </w:t>
            </w:r>
            <w:r>
              <w:rPr>
                <w:sz w:val="24"/>
                <w:szCs w:val="24"/>
              </w:rPr>
              <w:t xml:space="preserve">миллион</w:t>
            </w:r>
            <w:r>
              <w:rPr>
                <w:sz w:val="24"/>
                <w:szCs w:val="24"/>
              </w:rPr>
              <w:t xml:space="preserve">ов четыреста три тысячи девятьсот пятьдесят восемь</w:t>
            </w:r>
            <w:r>
              <w:rPr>
                <w:sz w:val="24"/>
                <w:szCs w:val="24"/>
              </w:rPr>
              <w:t xml:space="preserve">) рублей 26 копеек.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tabs>
                <w:tab w:val="left" w:pos="935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Страховые суммы на каждое автотранспортное средство представлены в приложении 1 к настоящему техническому заданию.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tabs>
                <w:tab w:val="left" w:pos="935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</w:t>
            </w:r>
            <w:r>
              <w:rPr>
                <w:sz w:val="24"/>
                <w:szCs w:val="24"/>
              </w:rPr>
              <w:t xml:space="preserve">4. Франшизы и лимиты ответственности не устанавливаются.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425"/>
        </w:trPr>
        <w:tc>
          <w:tcPr>
            <w:tcW w:w="56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8.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6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Условия оплаты услуг (форма, сроки, порядок)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11" w:type="dxa"/>
            <w:textDirection w:val="lrTb"/>
            <w:noWrap w:val="false"/>
          </w:tcPr>
          <w:p>
            <w:pPr>
              <w:jc w:val="both"/>
              <w:tabs>
                <w:tab w:val="left" w:pos="9355" w:leader="none"/>
              </w:tabs>
              <w:rPr>
                <w:szCs w:val="24"/>
              </w:rPr>
            </w:pPr>
            <w:r>
              <w:rPr>
                <w:sz w:val="24"/>
              </w:rPr>
              <w:t xml:space="preserve">8.1. Оплата страховой премии производится единовременно, либо двумя или четырьмя равными платежами по выбору Страхователя </w:t>
            </w:r>
            <w:r>
              <w:rPr>
                <w:rStyle w:val="856"/>
                <w:szCs w:val="24"/>
              </w:rPr>
              <w:t xml:space="preserve">[в случае, если срок страхования всех ТС одинаковый].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  <w:p>
            <w:pPr>
              <w:jc w:val="both"/>
              <w:tabs>
                <w:tab w:val="left" w:pos="9355" w:leader="none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8.2. Оплата страховой премии производится в течение </w:t>
            </w:r>
            <w:r>
              <w:rPr>
                <w:sz w:val="24"/>
              </w:rPr>
              <w:t xml:space="preserve">7-м</w:t>
            </w:r>
            <w:r>
              <w:rPr>
                <w:sz w:val="24"/>
              </w:rPr>
              <w:t xml:space="preserve">и рабочих дней со дня выставленного Страховщиком счета на оплату за страхование каждого транспортного средства или группы транспортных средств при получении в отношении него (них) страхового (-ых) полиса (-</w:t>
            </w:r>
            <w:r>
              <w:rPr>
                <w:sz w:val="24"/>
              </w:rPr>
              <w:t xml:space="preserve">ов</w:t>
            </w:r>
            <w:r>
              <w:rPr>
                <w:sz w:val="24"/>
              </w:rPr>
              <w:t xml:space="preserve">) </w:t>
            </w:r>
            <w:r>
              <w:rPr>
                <w:rStyle w:val="856"/>
                <w:szCs w:val="24"/>
              </w:rPr>
              <w:t xml:space="preserve">[</w:t>
            </w:r>
            <w:r>
              <w:rPr>
                <w:rStyle w:val="856"/>
              </w:rPr>
              <w:t xml:space="preserve">в случае, если срок страхования всех ТС разный].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tabs>
                <w:tab w:val="left" w:pos="9355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8.3. Оплата страховой премии производится в форме безналичного перечисления денежных средств на расчетный счет Страховщика.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jc w:val="both"/>
              <w:tabs>
                <w:tab w:val="left" w:pos="9355" w:leader="none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8.4. 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1090"/>
        </w:trPr>
        <w:tc>
          <w:tcPr>
            <w:tcW w:w="56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9.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6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Требования к участникам закупки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11" w:type="dxa"/>
            <w:textDirection w:val="lrTb"/>
            <w:noWrap w:val="false"/>
          </w:tcPr>
          <w:p>
            <w:pPr>
              <w:jc w:val="both"/>
              <w:tabs>
                <w:tab w:val="left" w:pos="9355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9.1. Наличие у Страховщика филиала/представительства в зоне присутствия по месту нахождения АО «</w:t>
            </w:r>
            <w:r>
              <w:rPr>
                <w:sz w:val="24"/>
              </w:rPr>
              <w:t xml:space="preserve">Россети</w:t>
            </w:r>
            <w:r>
              <w:rPr>
                <w:sz w:val="24"/>
              </w:rPr>
              <w:t xml:space="preserve"> Сибирь </w:t>
            </w:r>
            <w:r>
              <w:rPr>
                <w:sz w:val="24"/>
              </w:rPr>
              <w:t xml:space="preserve">Тываэнерго</w:t>
            </w:r>
            <w:r>
              <w:rPr>
                <w:sz w:val="24"/>
              </w:rPr>
              <w:t xml:space="preserve">», </w:t>
            </w:r>
            <w:r>
              <w:rPr>
                <w:sz w:val="24"/>
              </w:rPr>
              <w:t xml:space="preserve">г. Кызыл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jc w:val="both"/>
              <w:tabs>
                <w:tab w:val="left" w:pos="9355" w:leader="none"/>
              </w:tabs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851" w:right="851" w:bottom="851" w:left="1134" w:header="425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Journal">
    <w:panose1 w:val="02000603000000000000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tabs>
          <w:tab w:val="num" w:pos="13469" w:leader="none"/>
        </w:tabs>
      </w:pPr>
      <w:rPr>
        <w:rFonts w:hint="default" w:ascii="Times New Roman" w:hAnsi="Times New Roman" w:cs="Times New Roman"/>
        <w:b/>
        <w:bCs/>
        <w:i w:val="0"/>
        <w:iCs w:val="0"/>
        <w:sz w:val="24"/>
      </w:rPr>
    </w:lvl>
    <w:lvl w:ilvl="1">
      <w:start w:val="1"/>
      <w:numFmt w:val="decimal"/>
      <w:isLgl w:val="false"/>
      <w:suff w:val="tab"/>
      <w:lvlText w:val="%1.%2"/>
      <w:lvlJc w:val="left"/>
      <w:pPr>
        <w:ind w:firstLine="567"/>
        <w:tabs>
          <w:tab w:val="num" w:pos="3972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isLgl w:val="false"/>
      <w:suff w:val="tab"/>
      <w:lvlText w:val="%1.%2.%3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isLgl w:val="false"/>
      <w:suff w:val="tab"/>
      <w:lvlText w:val="%4)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left="1134" w:hanging="567"/>
        <w:tabs>
          <w:tab w:val="num" w:pos="1134" w:leader="none"/>
        </w:tabs>
      </w:pPr>
      <w:rPr>
        <w:rFonts w:hint="default"/>
      </w:rPr>
    </w:lvl>
    <w:lvl w:ilvl="5">
      <w:start w:val="1"/>
      <w:numFmt w:val="bullet"/>
      <w:isLgl w:val="false"/>
      <w:suff w:val="tab"/>
      <w:lvlText w:val=""/>
      <w:lvlJc w:val="left"/>
      <w:pPr>
        <w:ind w:left="1701" w:hanging="567"/>
        <w:tabs>
          <w:tab w:val="num" w:pos="1701" w:leader="none"/>
        </w:tabs>
      </w:pPr>
      <w:rPr>
        <w:rFonts w:hint="default" w:ascii="Symbol" w:hAnsi="Symbol" w:cs="Symbol"/>
      </w:rPr>
    </w:lvl>
    <w:lvl w:ilvl="6">
      <w:start w:val="1"/>
      <w:numFmt w:val="lowerLetter"/>
      <w:isLgl w:val="false"/>
      <w:suff w:val="tab"/>
      <w:lvlText w:val="%5%6%7)"/>
      <w:lvlJc w:val="left"/>
      <w:pPr>
        <w:ind w:left="2268" w:hanging="567"/>
        <w:tabs>
          <w:tab w:val="num" w:pos="2268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322" w:hanging="1224"/>
        <w:tabs>
          <w:tab w:val="num" w:pos="3978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98" w:hanging="1440"/>
        <w:tabs>
          <w:tab w:val="num" w:pos="4698" w:leader="none"/>
        </w:tabs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287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57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07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9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1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3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5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7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9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1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37" w:hanging="180"/>
      </w:pPr>
    </w:lvl>
  </w:abstractNum>
  <w:abstractNum w:abstractNumId="4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5">
    <w:multiLevelType w:val="hybridMultilevel"/>
    <w:lvl w:ilvl="0">
      <w:start w:val="20"/>
      <w:numFmt w:val="decimal"/>
      <w:isLgl w:val="false"/>
      <w:suff w:val="tab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Times New Roman" w:eastAsiaTheme="minorHAnsi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6">
    <w:name w:val="Heading 1"/>
    <w:basedOn w:val="843"/>
    <w:next w:val="843"/>
    <w:link w:val="66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7">
    <w:name w:val="Heading 1 Char"/>
    <w:basedOn w:val="844"/>
    <w:link w:val="666"/>
    <w:uiPriority w:val="9"/>
    <w:rPr>
      <w:rFonts w:ascii="Arial" w:hAnsi="Arial" w:eastAsia="Arial" w:cs="Arial"/>
      <w:sz w:val="40"/>
      <w:szCs w:val="40"/>
    </w:rPr>
  </w:style>
  <w:style w:type="paragraph" w:styleId="668">
    <w:name w:val="Heading 2"/>
    <w:basedOn w:val="843"/>
    <w:next w:val="843"/>
    <w:link w:val="66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9">
    <w:name w:val="Heading 2 Char"/>
    <w:basedOn w:val="844"/>
    <w:link w:val="668"/>
    <w:uiPriority w:val="9"/>
    <w:rPr>
      <w:rFonts w:ascii="Arial" w:hAnsi="Arial" w:eastAsia="Arial" w:cs="Arial"/>
      <w:sz w:val="34"/>
    </w:rPr>
  </w:style>
  <w:style w:type="paragraph" w:styleId="670">
    <w:name w:val="Heading 3"/>
    <w:basedOn w:val="843"/>
    <w:next w:val="843"/>
    <w:link w:val="67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1">
    <w:name w:val="Heading 3 Char"/>
    <w:basedOn w:val="844"/>
    <w:link w:val="670"/>
    <w:uiPriority w:val="9"/>
    <w:rPr>
      <w:rFonts w:ascii="Arial" w:hAnsi="Arial" w:eastAsia="Arial" w:cs="Arial"/>
      <w:sz w:val="30"/>
      <w:szCs w:val="30"/>
    </w:rPr>
  </w:style>
  <w:style w:type="paragraph" w:styleId="672">
    <w:name w:val="Heading 4"/>
    <w:basedOn w:val="843"/>
    <w:next w:val="843"/>
    <w:link w:val="67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3">
    <w:name w:val="Heading 4 Char"/>
    <w:basedOn w:val="844"/>
    <w:link w:val="672"/>
    <w:uiPriority w:val="9"/>
    <w:rPr>
      <w:rFonts w:ascii="Arial" w:hAnsi="Arial" w:eastAsia="Arial" w:cs="Arial"/>
      <w:b/>
      <w:bCs/>
      <w:sz w:val="26"/>
      <w:szCs w:val="26"/>
    </w:rPr>
  </w:style>
  <w:style w:type="paragraph" w:styleId="674">
    <w:name w:val="Heading 5"/>
    <w:basedOn w:val="843"/>
    <w:next w:val="843"/>
    <w:link w:val="67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5">
    <w:name w:val="Heading 5 Char"/>
    <w:basedOn w:val="844"/>
    <w:link w:val="674"/>
    <w:uiPriority w:val="9"/>
    <w:rPr>
      <w:rFonts w:ascii="Arial" w:hAnsi="Arial" w:eastAsia="Arial" w:cs="Arial"/>
      <w:b/>
      <w:bCs/>
      <w:sz w:val="24"/>
      <w:szCs w:val="24"/>
    </w:rPr>
  </w:style>
  <w:style w:type="paragraph" w:styleId="676">
    <w:name w:val="Heading 6"/>
    <w:basedOn w:val="843"/>
    <w:next w:val="843"/>
    <w:link w:val="67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7">
    <w:name w:val="Heading 6 Char"/>
    <w:basedOn w:val="844"/>
    <w:link w:val="676"/>
    <w:uiPriority w:val="9"/>
    <w:rPr>
      <w:rFonts w:ascii="Arial" w:hAnsi="Arial" w:eastAsia="Arial" w:cs="Arial"/>
      <w:b/>
      <w:bCs/>
      <w:sz w:val="22"/>
      <w:szCs w:val="22"/>
    </w:rPr>
  </w:style>
  <w:style w:type="paragraph" w:styleId="678">
    <w:name w:val="Heading 7"/>
    <w:basedOn w:val="843"/>
    <w:next w:val="843"/>
    <w:link w:val="67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9">
    <w:name w:val="Heading 7 Char"/>
    <w:basedOn w:val="844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0">
    <w:name w:val="Heading 8"/>
    <w:basedOn w:val="843"/>
    <w:next w:val="843"/>
    <w:link w:val="68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1">
    <w:name w:val="Heading 8 Char"/>
    <w:basedOn w:val="844"/>
    <w:link w:val="680"/>
    <w:uiPriority w:val="9"/>
    <w:rPr>
      <w:rFonts w:ascii="Arial" w:hAnsi="Arial" w:eastAsia="Arial" w:cs="Arial"/>
      <w:i/>
      <w:iCs/>
      <w:sz w:val="22"/>
      <w:szCs w:val="22"/>
    </w:rPr>
  </w:style>
  <w:style w:type="paragraph" w:styleId="682">
    <w:name w:val="Heading 9"/>
    <w:basedOn w:val="843"/>
    <w:next w:val="843"/>
    <w:link w:val="68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3">
    <w:name w:val="Heading 9 Char"/>
    <w:basedOn w:val="844"/>
    <w:link w:val="682"/>
    <w:uiPriority w:val="9"/>
    <w:rPr>
      <w:rFonts w:ascii="Arial" w:hAnsi="Arial" w:eastAsia="Arial" w:cs="Arial"/>
      <w:i/>
      <w:iCs/>
      <w:sz w:val="21"/>
      <w:szCs w:val="21"/>
    </w:rPr>
  </w:style>
  <w:style w:type="paragraph" w:styleId="684">
    <w:name w:val="List Paragraph"/>
    <w:basedOn w:val="843"/>
    <w:uiPriority w:val="34"/>
    <w:qFormat/>
    <w:pPr>
      <w:contextualSpacing/>
      <w:ind w:left="720"/>
    </w:pPr>
  </w:style>
  <w:style w:type="paragraph" w:styleId="685">
    <w:name w:val="No Spacing"/>
    <w:uiPriority w:val="1"/>
    <w:qFormat/>
    <w:pPr>
      <w:spacing w:before="0" w:after="0" w:line="240" w:lineRule="auto"/>
    </w:pPr>
  </w:style>
  <w:style w:type="paragraph" w:styleId="686">
    <w:name w:val="Title"/>
    <w:basedOn w:val="843"/>
    <w:next w:val="843"/>
    <w:link w:val="68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7">
    <w:name w:val="Title Char"/>
    <w:basedOn w:val="844"/>
    <w:link w:val="686"/>
    <w:uiPriority w:val="10"/>
    <w:rPr>
      <w:sz w:val="48"/>
      <w:szCs w:val="48"/>
    </w:rPr>
  </w:style>
  <w:style w:type="paragraph" w:styleId="688">
    <w:name w:val="Subtitle"/>
    <w:basedOn w:val="843"/>
    <w:next w:val="843"/>
    <w:link w:val="689"/>
    <w:uiPriority w:val="11"/>
    <w:qFormat/>
    <w:pPr>
      <w:spacing w:before="200" w:after="200"/>
    </w:pPr>
    <w:rPr>
      <w:sz w:val="24"/>
      <w:szCs w:val="24"/>
    </w:rPr>
  </w:style>
  <w:style w:type="character" w:styleId="689">
    <w:name w:val="Subtitle Char"/>
    <w:basedOn w:val="844"/>
    <w:link w:val="688"/>
    <w:uiPriority w:val="11"/>
    <w:rPr>
      <w:sz w:val="24"/>
      <w:szCs w:val="24"/>
    </w:rPr>
  </w:style>
  <w:style w:type="paragraph" w:styleId="690">
    <w:name w:val="Quote"/>
    <w:basedOn w:val="843"/>
    <w:next w:val="843"/>
    <w:link w:val="691"/>
    <w:uiPriority w:val="29"/>
    <w:qFormat/>
    <w:pPr>
      <w:ind w:left="720" w:right="720"/>
    </w:pPr>
    <w:rPr>
      <w:i/>
    </w:rPr>
  </w:style>
  <w:style w:type="character" w:styleId="691">
    <w:name w:val="Quote Char"/>
    <w:link w:val="690"/>
    <w:uiPriority w:val="29"/>
    <w:rPr>
      <w:i/>
    </w:rPr>
  </w:style>
  <w:style w:type="paragraph" w:styleId="692">
    <w:name w:val="Intense Quote"/>
    <w:basedOn w:val="843"/>
    <w:next w:val="843"/>
    <w:link w:val="69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3">
    <w:name w:val="Intense Quote Char"/>
    <w:link w:val="692"/>
    <w:uiPriority w:val="30"/>
    <w:rPr>
      <w:i/>
    </w:rPr>
  </w:style>
  <w:style w:type="paragraph" w:styleId="694">
    <w:name w:val="Header"/>
    <w:basedOn w:val="843"/>
    <w:link w:val="69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5">
    <w:name w:val="Header Char"/>
    <w:basedOn w:val="844"/>
    <w:link w:val="694"/>
    <w:uiPriority w:val="99"/>
  </w:style>
  <w:style w:type="paragraph" w:styleId="696">
    <w:name w:val="Footer"/>
    <w:basedOn w:val="843"/>
    <w:link w:val="69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7">
    <w:name w:val="Footer Char"/>
    <w:basedOn w:val="844"/>
    <w:link w:val="696"/>
    <w:uiPriority w:val="99"/>
  </w:style>
  <w:style w:type="character" w:styleId="698">
    <w:name w:val="Caption Char"/>
    <w:basedOn w:val="847"/>
    <w:link w:val="696"/>
    <w:uiPriority w:val="99"/>
  </w:style>
  <w:style w:type="table" w:styleId="699">
    <w:name w:val="Table Grid"/>
    <w:basedOn w:val="84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>
    <w:name w:val="Table Grid Light"/>
    <w:basedOn w:val="84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1">
    <w:name w:val="Plain Table 1"/>
    <w:basedOn w:val="84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2">
    <w:name w:val="Plain Table 2"/>
    <w:basedOn w:val="84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3">
    <w:name w:val="Plain Table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4">
    <w:name w:val="Plain Table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Plain Table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6">
    <w:name w:val="Grid Table 1 Light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4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8">
    <w:name w:val="Grid Table 4 - Accent 1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9">
    <w:name w:val="Grid Table 4 - Accent 2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0">
    <w:name w:val="Grid Table 4 - Accent 3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1">
    <w:name w:val="Grid Table 4 - Accent 4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2">
    <w:name w:val="Grid Table 4 - Accent 5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3">
    <w:name w:val="Grid Table 4 - Accent 6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4">
    <w:name w:val="Grid Table 5 Dark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5">
    <w:name w:val="Grid Table 5 Dark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8">
    <w:name w:val="Grid Table 5 Dark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41">
    <w:name w:val="Grid Table 6 Colorful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2">
    <w:name w:val="Grid Table 6 Colorful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3">
    <w:name w:val="Grid Table 6 Colorful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4">
    <w:name w:val="Grid Table 6 Colorful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5">
    <w:name w:val="Grid Table 6 Colorful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6">
    <w:name w:val="Grid Table 6 Colorful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7">
    <w:name w:val="Grid Table 6 Colorful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8">
    <w:name w:val="Grid Table 7 Colorful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3">
    <w:name w:val="List Table 2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4">
    <w:name w:val="List Table 2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5">
    <w:name w:val="List Table 2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6">
    <w:name w:val="List Table 2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7">
    <w:name w:val="List Table 2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8">
    <w:name w:val="List Table 2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9">
    <w:name w:val="List Table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5 Dark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6 Colorful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1">
    <w:name w:val="List Table 6 Colorful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2">
    <w:name w:val="List Table 6 Colorful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3">
    <w:name w:val="List Table 6 Colorful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4">
    <w:name w:val="List Table 6 Colorful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5">
    <w:name w:val="List Table 6 Colorful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6">
    <w:name w:val="List Table 6 Colorful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7">
    <w:name w:val="List Table 7 Colorful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8">
    <w:name w:val="List Table 7 Colorful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9">
    <w:name w:val="List Table 7 Colorful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00">
    <w:name w:val="List Table 7 Colorful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01">
    <w:name w:val="List Table 7 Colorful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02">
    <w:name w:val="List Table 7 Colorful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03">
    <w:name w:val="List Table 7 Colorful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04">
    <w:name w:val="Lined - Accent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5">
    <w:name w:val="Lined - Accent 1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6">
    <w:name w:val="Lined - Accent 2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7">
    <w:name w:val="Lined - Accent 3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8">
    <w:name w:val="Lined - Accent 4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9">
    <w:name w:val="Lined - Accent 5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0">
    <w:name w:val="Lined - Accent 6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1">
    <w:name w:val="Bordered &amp; Lined - Accent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2">
    <w:name w:val="Bordered &amp; Lined - Accent 1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3">
    <w:name w:val="Bordered &amp; Lined - Accent 2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4">
    <w:name w:val="Bordered &amp; Lined - Accent 3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5">
    <w:name w:val="Bordered &amp; Lined - Accent 4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6">
    <w:name w:val="Bordered &amp; Lined - Accent 5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7">
    <w:name w:val="Bordered &amp; Lined - Accent 6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8">
    <w:name w:val="Bordered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9">
    <w:name w:val="Bordered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0">
    <w:name w:val="Bordered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1">
    <w:name w:val="Bordered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2">
    <w:name w:val="Bordered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3">
    <w:name w:val="Bordered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4">
    <w:name w:val="Bordered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5">
    <w:name w:val="Hyperlink"/>
    <w:uiPriority w:val="99"/>
    <w:unhideWhenUsed/>
    <w:rPr>
      <w:color w:val="0000ff" w:themeColor="hyperlink"/>
      <w:u w:val="single"/>
    </w:rPr>
  </w:style>
  <w:style w:type="paragraph" w:styleId="826">
    <w:name w:val="footnote text"/>
    <w:basedOn w:val="843"/>
    <w:link w:val="827"/>
    <w:uiPriority w:val="99"/>
    <w:semiHidden/>
    <w:unhideWhenUsed/>
    <w:pPr>
      <w:spacing w:after="40" w:line="240" w:lineRule="auto"/>
    </w:pPr>
    <w:rPr>
      <w:sz w:val="18"/>
    </w:rPr>
  </w:style>
  <w:style w:type="character" w:styleId="827">
    <w:name w:val="Footnote Text Char"/>
    <w:link w:val="826"/>
    <w:uiPriority w:val="99"/>
    <w:rPr>
      <w:sz w:val="18"/>
    </w:rPr>
  </w:style>
  <w:style w:type="character" w:styleId="828">
    <w:name w:val="footnote reference"/>
    <w:basedOn w:val="844"/>
    <w:uiPriority w:val="99"/>
    <w:unhideWhenUsed/>
    <w:rPr>
      <w:vertAlign w:val="superscript"/>
    </w:rPr>
  </w:style>
  <w:style w:type="paragraph" w:styleId="829">
    <w:name w:val="endnote text"/>
    <w:basedOn w:val="843"/>
    <w:link w:val="830"/>
    <w:uiPriority w:val="99"/>
    <w:semiHidden/>
    <w:unhideWhenUsed/>
    <w:pPr>
      <w:spacing w:after="0" w:line="240" w:lineRule="auto"/>
    </w:pPr>
    <w:rPr>
      <w:sz w:val="20"/>
    </w:rPr>
  </w:style>
  <w:style w:type="character" w:styleId="830">
    <w:name w:val="Endnote Text Char"/>
    <w:link w:val="829"/>
    <w:uiPriority w:val="99"/>
    <w:rPr>
      <w:sz w:val="20"/>
    </w:rPr>
  </w:style>
  <w:style w:type="character" w:styleId="831">
    <w:name w:val="endnote reference"/>
    <w:basedOn w:val="844"/>
    <w:uiPriority w:val="99"/>
    <w:semiHidden/>
    <w:unhideWhenUsed/>
    <w:rPr>
      <w:vertAlign w:val="superscript"/>
    </w:rPr>
  </w:style>
  <w:style w:type="paragraph" w:styleId="832">
    <w:name w:val="toc 1"/>
    <w:basedOn w:val="843"/>
    <w:next w:val="843"/>
    <w:uiPriority w:val="39"/>
    <w:unhideWhenUsed/>
    <w:pPr>
      <w:ind w:left="0" w:right="0" w:firstLine="0"/>
      <w:spacing w:after="57"/>
    </w:pPr>
  </w:style>
  <w:style w:type="paragraph" w:styleId="833">
    <w:name w:val="toc 2"/>
    <w:basedOn w:val="843"/>
    <w:next w:val="843"/>
    <w:uiPriority w:val="39"/>
    <w:unhideWhenUsed/>
    <w:pPr>
      <w:ind w:left="283" w:right="0" w:firstLine="0"/>
      <w:spacing w:after="57"/>
    </w:pPr>
  </w:style>
  <w:style w:type="paragraph" w:styleId="834">
    <w:name w:val="toc 3"/>
    <w:basedOn w:val="843"/>
    <w:next w:val="843"/>
    <w:uiPriority w:val="39"/>
    <w:unhideWhenUsed/>
    <w:pPr>
      <w:ind w:left="567" w:right="0" w:firstLine="0"/>
      <w:spacing w:after="57"/>
    </w:pPr>
  </w:style>
  <w:style w:type="paragraph" w:styleId="835">
    <w:name w:val="toc 4"/>
    <w:basedOn w:val="843"/>
    <w:next w:val="843"/>
    <w:uiPriority w:val="39"/>
    <w:unhideWhenUsed/>
    <w:pPr>
      <w:ind w:left="850" w:right="0" w:firstLine="0"/>
      <w:spacing w:after="57"/>
    </w:pPr>
  </w:style>
  <w:style w:type="paragraph" w:styleId="836">
    <w:name w:val="toc 5"/>
    <w:basedOn w:val="843"/>
    <w:next w:val="843"/>
    <w:uiPriority w:val="39"/>
    <w:unhideWhenUsed/>
    <w:pPr>
      <w:ind w:left="1134" w:right="0" w:firstLine="0"/>
      <w:spacing w:after="57"/>
    </w:pPr>
  </w:style>
  <w:style w:type="paragraph" w:styleId="837">
    <w:name w:val="toc 6"/>
    <w:basedOn w:val="843"/>
    <w:next w:val="843"/>
    <w:uiPriority w:val="39"/>
    <w:unhideWhenUsed/>
    <w:pPr>
      <w:ind w:left="1417" w:right="0" w:firstLine="0"/>
      <w:spacing w:after="57"/>
    </w:pPr>
  </w:style>
  <w:style w:type="paragraph" w:styleId="838">
    <w:name w:val="toc 7"/>
    <w:basedOn w:val="843"/>
    <w:next w:val="843"/>
    <w:uiPriority w:val="39"/>
    <w:unhideWhenUsed/>
    <w:pPr>
      <w:ind w:left="1701" w:right="0" w:firstLine="0"/>
      <w:spacing w:after="57"/>
    </w:pPr>
  </w:style>
  <w:style w:type="paragraph" w:styleId="839">
    <w:name w:val="toc 8"/>
    <w:basedOn w:val="843"/>
    <w:next w:val="843"/>
    <w:uiPriority w:val="39"/>
    <w:unhideWhenUsed/>
    <w:pPr>
      <w:ind w:left="1984" w:right="0" w:firstLine="0"/>
      <w:spacing w:after="57"/>
    </w:pPr>
  </w:style>
  <w:style w:type="paragraph" w:styleId="840">
    <w:name w:val="toc 9"/>
    <w:basedOn w:val="843"/>
    <w:next w:val="843"/>
    <w:uiPriority w:val="39"/>
    <w:unhideWhenUsed/>
    <w:pPr>
      <w:ind w:left="2268" w:right="0" w:firstLine="0"/>
      <w:spacing w:after="57"/>
    </w:pPr>
  </w:style>
  <w:style w:type="paragraph" w:styleId="841">
    <w:name w:val="TOC Heading"/>
    <w:uiPriority w:val="39"/>
    <w:unhideWhenUsed/>
  </w:style>
  <w:style w:type="paragraph" w:styleId="842">
    <w:name w:val="table of figures"/>
    <w:basedOn w:val="843"/>
    <w:next w:val="843"/>
    <w:uiPriority w:val="99"/>
    <w:unhideWhenUsed/>
    <w:pPr>
      <w:spacing w:after="0" w:afterAutospacing="0"/>
    </w:pPr>
  </w:style>
  <w:style w:type="paragraph" w:styleId="843" w:default="1">
    <w:name w:val="Normal"/>
    <w:qFormat/>
    <w:pPr>
      <w:jc w:val="left"/>
    </w:pPr>
    <w:rPr>
      <w:rFonts w:eastAsia="Times New Roman"/>
      <w:sz w:val="20"/>
      <w:szCs w:val="20"/>
      <w:lang w:eastAsia="ru-RU"/>
    </w:rPr>
  </w:style>
  <w:style w:type="character" w:styleId="844" w:default="1">
    <w:name w:val="Default Paragraph Font"/>
    <w:uiPriority w:val="1"/>
    <w:semiHidden/>
    <w:unhideWhenUsed/>
  </w:style>
  <w:style w:type="table" w:styleId="84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6" w:default="1">
    <w:name w:val="No List"/>
    <w:uiPriority w:val="99"/>
    <w:semiHidden/>
    <w:unhideWhenUsed/>
  </w:style>
  <w:style w:type="paragraph" w:styleId="847">
    <w:name w:val="Caption"/>
    <w:basedOn w:val="843"/>
    <w:next w:val="843"/>
    <w:link w:val="698"/>
    <w:qFormat/>
    <w:pPr>
      <w:ind w:firstLine="900"/>
      <w:jc w:val="center"/>
      <w:spacing w:after="60"/>
    </w:pPr>
    <w:rPr>
      <w:rFonts w:ascii="Arial" w:hAnsi="Arial"/>
      <w:bCs/>
      <w:sz w:val="22"/>
    </w:rPr>
  </w:style>
  <w:style w:type="paragraph" w:styleId="848" w:customStyle="1">
    <w:name w:val="Обычный текст"/>
    <w:basedOn w:val="843"/>
    <w:link w:val="849"/>
    <w:qFormat/>
    <w:pPr>
      <w:ind w:firstLine="720"/>
      <w:jc w:val="both"/>
      <w:spacing w:line="288" w:lineRule="auto"/>
    </w:pPr>
  </w:style>
  <w:style w:type="character" w:styleId="849" w:customStyle="1">
    <w:name w:val="Обычный текст Знак"/>
    <w:link w:val="848"/>
    <w:rPr>
      <w:rFonts w:eastAsia="Times New Roman"/>
      <w:sz w:val="20"/>
      <w:szCs w:val="20"/>
      <w:lang w:eastAsia="ru-RU"/>
    </w:rPr>
  </w:style>
  <w:style w:type="paragraph" w:styleId="850" w:customStyle="1">
    <w:name w:val="!Iniiaiie oaeno"/>
    <w:pPr>
      <w:contextualSpacing w:val="0"/>
      <w:ind w:left="0" w:right="51" w:firstLine="709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51" w:customStyle="1">
    <w:name w:val="Body Text Indent"/>
    <w:pPr>
      <w:contextualSpacing w:val="0"/>
      <w:ind w:left="283" w:right="0" w:firstLine="0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52" w:customStyle="1">
    <w:name w:val="бычный"/>
    <w:uiPriority w:val="99"/>
    <w:pPr>
      <w:contextualSpacing w:val="0"/>
      <w:ind w:left="0" w:right="0" w:firstLine="709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Journal" w:hAnsi="Journal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53" w:customStyle="1">
    <w:name w:val="Body Text 23"/>
    <w:pPr>
      <w:contextualSpacing w:val="0"/>
      <w:ind w:left="0" w:right="0" w:firstLine="567"/>
      <w:jc w:val="both"/>
      <w:keepLines w:val="0"/>
      <w:keepNext w:val="0"/>
      <w:pageBreakBefore w:val="0"/>
      <w:spacing w:before="0" w:beforeAutospacing="0" w:after="0" w:afterAutospacing="0" w:line="240" w:lineRule="atLeast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54" w:customStyle="1">
    <w:name w:val="Пункт"/>
    <w:pPr>
      <w:contextualSpacing w:val="0"/>
      <w:ind w:left="1422" w:right="0" w:hanging="72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55" w:customStyle="1">
    <w:name w:val="Контракт-пункт"/>
    <w:pPr>
      <w:numPr>
        <w:ilvl w:val="1"/>
        <w:numId w:val="0"/>
      </w:numPr>
      <w:contextualSpacing w:val="0"/>
      <w:ind w:left="1440" w:right="0" w:hanging="36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856" w:customStyle="1">
    <w:name w:val="комментарий"/>
    <w:rPr>
      <w:rFonts w:cs="Times New Roman"/>
      <w:i/>
      <w:u w:val="none"/>
      <w:shd w:val="clear" w:color="auto" w:fill="ffff99"/>
    </w:rPr>
  </w:style>
  <w:style w:type="paragraph" w:styleId="857" w:customStyle="1">
    <w:name w:val="самый обычный"/>
    <w:qFormat/>
    <w:pPr>
      <w:contextualSpacing w:val="0"/>
      <w:ind w:left="0" w:right="0" w:firstLine="709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58" w:customStyle="1">
    <w:name w:val="!Iaca.aeaa aieoiaioa"/>
    <w:pPr>
      <w:contextualSpacing w:val="0"/>
      <w:ind w:left="0" w:right="51" w:firstLine="0"/>
      <w:jc w:val="center"/>
      <w:keepLines w:val="0"/>
      <w:keepNext w:val="0"/>
      <w:pageBreakBefore w:val="0"/>
      <w:spacing w:before="0" w:beforeAutospacing="0" w:after="24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59" w:customStyle="1">
    <w:name w:val="???????1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60" w:customStyle="1">
    <w:name w:val="Таблица текст"/>
    <w:pPr>
      <w:contextualSpacing w:val="0"/>
      <w:ind w:left="57" w:right="57" w:firstLine="0"/>
      <w:jc w:val="left"/>
      <w:keepLines w:val="0"/>
      <w:keepNext w:val="0"/>
      <w:pageBreakBefore w:val="0"/>
      <w:spacing w:before="40" w:beforeAutospacing="0" w:after="4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2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61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62" w:customStyle="1">
    <w:name w:val="Пункт-3"/>
    <w:uiPriority w:val="99"/>
    <w:pPr>
      <w:contextualSpacing w:val="0"/>
      <w:ind w:left="0" w:right="0" w:firstLine="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tabs>
        <w:tab w:val="num" w:pos="1418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Нефедова Виктория Владимировна</dc:creator>
  <cp:lastModifiedBy>TegitEA</cp:lastModifiedBy>
  <cp:revision>24</cp:revision>
  <dcterms:created xsi:type="dcterms:W3CDTF">2019-09-04T12:52:00Z</dcterms:created>
  <dcterms:modified xsi:type="dcterms:W3CDTF">2025-10-02T04:12:53Z</dcterms:modified>
</cp:coreProperties>
</file>